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BD2" w:rsidRPr="00234BD2" w:rsidRDefault="00234BD2" w:rsidP="00DD07AC">
      <w:pPr>
        <w:spacing w:after="0" w:line="20" w:lineRule="atLeast"/>
        <w:jc w:val="center"/>
        <w:rPr>
          <w:rFonts w:ascii="Helvetica" w:hAnsi="Helvetica" w:cs="Times New Roman"/>
          <w:b/>
          <w:bCs/>
          <w:caps/>
          <w:color w:val="595959" w:themeColor="text1" w:themeTint="A6"/>
          <w:sz w:val="30"/>
          <w:szCs w:val="30"/>
        </w:rPr>
      </w:pPr>
    </w:p>
    <w:p w:rsidR="00234BD2" w:rsidRPr="00234BD2" w:rsidRDefault="00234BD2" w:rsidP="00234BD2">
      <w:pPr>
        <w:spacing w:after="0" w:line="20" w:lineRule="atLeast"/>
        <w:rPr>
          <w:rFonts w:ascii="Helvetica" w:hAnsi="Helvetica" w:cs="Times New Roman"/>
          <w:b/>
          <w:bCs/>
          <w:color w:val="595959" w:themeColor="text1" w:themeTint="A6"/>
          <w:sz w:val="30"/>
          <w:szCs w:val="30"/>
        </w:rPr>
      </w:pPr>
      <w:r w:rsidRPr="00234BD2">
        <w:rPr>
          <w:rFonts w:ascii="Helvetica" w:hAnsi="Helvetica" w:cs="Times New Roman"/>
          <w:b/>
          <w:bCs/>
          <w:color w:val="595959" w:themeColor="text1" w:themeTint="A6"/>
          <w:sz w:val="48"/>
          <w:szCs w:val="48"/>
        </w:rPr>
        <w:t xml:space="preserve">Česká republika </w:t>
      </w:r>
    </w:p>
    <w:p w:rsidR="00234BD2" w:rsidRPr="00234BD2" w:rsidRDefault="00234BD2" w:rsidP="00234BD2">
      <w:pPr>
        <w:spacing w:after="0" w:line="20" w:lineRule="atLeast"/>
        <w:rPr>
          <w:rFonts w:ascii="Helvetica" w:hAnsi="Helvetica" w:cs="Times New Roman"/>
          <w:b/>
          <w:bCs/>
          <w:caps/>
          <w:color w:val="595959" w:themeColor="text1" w:themeTint="A6"/>
          <w:sz w:val="30"/>
          <w:szCs w:val="30"/>
        </w:rPr>
      </w:pPr>
    </w:p>
    <w:p w:rsidR="00513C11" w:rsidRPr="00234BD2" w:rsidRDefault="00513C11" w:rsidP="00DD07AC">
      <w:pPr>
        <w:spacing w:after="0" w:line="20" w:lineRule="atLeast"/>
        <w:jc w:val="center"/>
        <w:rPr>
          <w:rFonts w:ascii="Helvetica" w:hAnsi="Helvetica" w:cs="Times New Roman"/>
          <w:b/>
          <w:bCs/>
          <w:caps/>
          <w:color w:val="595959" w:themeColor="text1" w:themeTint="A6"/>
          <w:sz w:val="30"/>
          <w:szCs w:val="30"/>
        </w:rPr>
      </w:pPr>
      <w:r w:rsidRPr="00234BD2">
        <w:rPr>
          <w:rFonts w:ascii="Helvetica" w:hAnsi="Helvetica" w:cs="Times New Roman"/>
          <w:b/>
          <w:bCs/>
          <w:caps/>
          <w:color w:val="595959" w:themeColor="text1" w:themeTint="A6"/>
          <w:sz w:val="30"/>
          <w:szCs w:val="30"/>
        </w:rPr>
        <w:t>Výst</w:t>
      </w:r>
      <w:bookmarkStart w:id="0" w:name="_GoBack"/>
      <w:bookmarkEnd w:id="0"/>
      <w:r w:rsidRPr="00234BD2">
        <w:rPr>
          <w:rFonts w:ascii="Helvetica" w:hAnsi="Helvetica" w:cs="Times New Roman"/>
          <w:b/>
          <w:bCs/>
          <w:caps/>
          <w:color w:val="595959" w:themeColor="text1" w:themeTint="A6"/>
          <w:sz w:val="30"/>
          <w:szCs w:val="30"/>
        </w:rPr>
        <w:t xml:space="preserve">raha před jevem s vysokou pravděpodobností výskytu: </w:t>
      </w:r>
      <w:r w:rsidRPr="00234BD2">
        <w:rPr>
          <w:rFonts w:ascii="Helvetica" w:hAnsi="Helvetica" w:cs="Times New Roman"/>
          <w:b/>
          <w:bCs/>
          <w:caps/>
          <w:color w:val="FF0000"/>
          <w:sz w:val="30"/>
          <w:szCs w:val="30"/>
        </w:rPr>
        <w:t>Silný vítr</w:t>
      </w:r>
    </w:p>
    <w:p w:rsidR="00513C11" w:rsidRPr="00234BD2" w:rsidRDefault="00513C11" w:rsidP="00DD07AC">
      <w:pPr>
        <w:spacing w:after="0" w:line="20" w:lineRule="atLeast"/>
        <w:jc w:val="center"/>
        <w:rPr>
          <w:rFonts w:ascii="Helvetica" w:hAnsi="Helvetica" w:cs="Times New Roman"/>
          <w:b/>
          <w:bCs/>
          <w:caps/>
          <w:color w:val="595959" w:themeColor="text1" w:themeTint="A6"/>
          <w:sz w:val="24"/>
          <w:szCs w:val="24"/>
        </w:rPr>
      </w:pPr>
    </w:p>
    <w:p w:rsidR="00DD07AC" w:rsidRPr="00234BD2" w:rsidRDefault="00DD07AC" w:rsidP="00DD07AC">
      <w:pPr>
        <w:spacing w:after="0" w:line="20" w:lineRule="atLeast"/>
        <w:rPr>
          <w:rFonts w:ascii="Helvetica" w:hAnsi="Helvetica" w:cs="Times New Roman"/>
          <w:b/>
          <w:bCs/>
          <w:color w:val="595959" w:themeColor="text1" w:themeTint="A6"/>
          <w:sz w:val="24"/>
          <w:szCs w:val="24"/>
        </w:rPr>
      </w:pPr>
    </w:p>
    <w:p w:rsidR="00513C11" w:rsidRPr="00234BD2" w:rsidRDefault="00513C11" w:rsidP="00DD07AC">
      <w:pPr>
        <w:spacing w:after="0" w:line="20" w:lineRule="atLeast"/>
        <w:rPr>
          <w:rFonts w:ascii="Helvetica" w:hAnsi="Helvetica" w:cs="Times New Roman"/>
          <w:b/>
          <w:bCs/>
          <w:color w:val="595959" w:themeColor="text1" w:themeTint="A6"/>
          <w:sz w:val="24"/>
          <w:szCs w:val="24"/>
        </w:rPr>
      </w:pPr>
      <w:r w:rsidRPr="00234BD2">
        <w:rPr>
          <w:rFonts w:ascii="Helvetica" w:hAnsi="Helvetica" w:cs="Times New Roman"/>
          <w:b/>
          <w:bCs/>
          <w:color w:val="595959" w:themeColor="text1" w:themeTint="A6"/>
          <w:sz w:val="24"/>
          <w:szCs w:val="24"/>
        </w:rPr>
        <w:t>Platnost: od 1.2.2022 15:00 do 2.2.2022 00:00</w:t>
      </w:r>
    </w:p>
    <w:p w:rsidR="00513C11" w:rsidRPr="00234BD2" w:rsidRDefault="00513C11" w:rsidP="00DD07AC">
      <w:pPr>
        <w:spacing w:after="0" w:line="20" w:lineRule="atLeast"/>
        <w:jc w:val="both"/>
        <w:rPr>
          <w:rFonts w:ascii="Helvetica" w:hAnsi="Helvetica" w:cs="Times New Roman"/>
          <w:color w:val="595959" w:themeColor="text1" w:themeTint="A6"/>
          <w:sz w:val="24"/>
          <w:szCs w:val="24"/>
        </w:rPr>
      </w:pPr>
      <w:r w:rsidRPr="00234BD2">
        <w:rPr>
          <w:rFonts w:ascii="Helvetica" w:hAnsi="Helvetica" w:cs="Times New Roman"/>
          <w:color w:val="595959" w:themeColor="text1" w:themeTint="A6"/>
          <w:sz w:val="24"/>
          <w:szCs w:val="24"/>
        </w:rPr>
        <w:t xml:space="preserve">Pro kraje: Hlavní město Praha, Středočeský kraj (Benešov, Beroun, Brandýs nad Labem-Stará Boleslav, Čáslav, Černošice, Český Brod, Dobříš, Hořovice, Kladno, Kralupy nad Vltavou, Kutná Hora, </w:t>
      </w:r>
      <w:r w:rsidRPr="00234BD2">
        <w:rPr>
          <w:rFonts w:ascii="Helvetica" w:hAnsi="Helvetica" w:cs="Times New Roman"/>
          <w:b/>
          <w:bCs/>
          <w:color w:val="FF0000"/>
          <w:sz w:val="24"/>
          <w:szCs w:val="24"/>
        </w:rPr>
        <w:t>Mělník, Neratovice</w:t>
      </w:r>
      <w:r w:rsidRPr="00234BD2">
        <w:rPr>
          <w:rFonts w:ascii="Helvetica" w:hAnsi="Helvetica" w:cs="Times New Roman"/>
          <w:color w:val="595959" w:themeColor="text1" w:themeTint="A6"/>
          <w:sz w:val="24"/>
          <w:szCs w:val="24"/>
        </w:rPr>
        <w:t>, Příbram, Rakovník, Říčany, Sedlčany, Slaný, Vlašim, Votice), Jihočeský kraj, Plzeňský kraj, Karlovarský kraj, Ústecký kraj, Kraj Vysočina</w:t>
      </w:r>
    </w:p>
    <w:p w:rsidR="00DD07AC" w:rsidRPr="00234BD2" w:rsidRDefault="00DD07AC" w:rsidP="00DD07AC">
      <w:pPr>
        <w:spacing w:after="0" w:line="20" w:lineRule="atLeast"/>
        <w:jc w:val="both"/>
        <w:rPr>
          <w:rFonts w:ascii="Helvetica" w:hAnsi="Helvetica" w:cs="Times New Roman"/>
          <w:color w:val="595959" w:themeColor="text1" w:themeTint="A6"/>
          <w:sz w:val="24"/>
          <w:szCs w:val="24"/>
        </w:rPr>
      </w:pPr>
    </w:p>
    <w:tbl>
      <w:tblPr>
        <w:tblW w:w="6210" w:type="dxa"/>
        <w:jc w:val="center"/>
        <w:shd w:val="clear" w:color="auto" w:fill="002060"/>
        <w:tblCellMar>
          <w:top w:w="15" w:type="dxa"/>
          <w:left w:w="15" w:type="dxa"/>
          <w:bottom w:w="15" w:type="dxa"/>
          <w:right w:w="15" w:type="dxa"/>
        </w:tblCellMar>
        <w:tblLook w:val="04A0" w:firstRow="1" w:lastRow="0" w:firstColumn="1" w:lastColumn="0" w:noHBand="0" w:noVBand="1"/>
      </w:tblPr>
      <w:tblGrid>
        <w:gridCol w:w="2032"/>
        <w:gridCol w:w="1365"/>
        <w:gridCol w:w="764"/>
        <w:gridCol w:w="938"/>
        <w:gridCol w:w="1111"/>
      </w:tblGrid>
      <w:tr w:rsidR="00234BD2" w:rsidRPr="00234BD2" w:rsidTr="00DD07AC">
        <w:trPr>
          <w:trHeight w:val="59"/>
          <w:jc w:val="center"/>
        </w:trPr>
        <w:tc>
          <w:tcPr>
            <w:tcW w:w="2032" w:type="dxa"/>
            <w:vMerge w:val="restart"/>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bottom"/>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Pravděpodobnost</w:t>
            </w:r>
          </w:p>
        </w:tc>
        <w:tc>
          <w:tcPr>
            <w:tcW w:w="1365" w:type="dxa"/>
            <w:vMerge w:val="restart"/>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Intenzita</w:t>
            </w:r>
          </w:p>
        </w:tc>
      </w:tr>
      <w:tr w:rsidR="00234BD2" w:rsidRPr="00234BD2" w:rsidTr="00DD07AC">
        <w:trPr>
          <w:trHeight w:val="78"/>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764" w:type="dxa"/>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Nízká</w:t>
            </w:r>
          </w:p>
        </w:tc>
        <w:tc>
          <w:tcPr>
            <w:tcW w:w="938" w:type="dxa"/>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Vysoká</w:t>
            </w:r>
          </w:p>
        </w:tc>
        <w:tc>
          <w:tcPr>
            <w:tcW w:w="1111" w:type="dxa"/>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Extrémní</w:t>
            </w:r>
          </w:p>
        </w:tc>
      </w:tr>
      <w:tr w:rsidR="00234BD2" w:rsidRPr="00234BD2" w:rsidTr="00DD07AC">
        <w:trPr>
          <w:trHeight w:val="74"/>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Pozorování</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98437"/>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F5000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r>
      <w:tr w:rsidR="00234BD2" w:rsidRPr="00234BD2" w:rsidTr="00DD07AC">
        <w:trPr>
          <w:trHeight w:val="78"/>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&gt; 50 %</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3C11" w:rsidRPr="00234BD2" w:rsidRDefault="00513C11" w:rsidP="00DD07AC">
            <w:pPr>
              <w:spacing w:after="0" w:line="20" w:lineRule="atLeast"/>
              <w:jc w:val="center"/>
              <w:rPr>
                <w:rFonts w:ascii="Helvetica" w:eastAsia="Times New Roman" w:hAnsi="Helvetica" w:cs="Times New Roman"/>
                <w:b/>
                <w:bCs/>
                <w:color w:val="595959" w:themeColor="text1" w:themeTint="A6"/>
                <w:sz w:val="24"/>
                <w:szCs w:val="24"/>
                <w:lang w:eastAsia="cs-CZ"/>
              </w:rPr>
            </w:pPr>
            <w:r w:rsidRPr="00234BD2">
              <w:rPr>
                <w:rFonts w:ascii="Helvetica" w:eastAsia="Times New Roman" w:hAnsi="Helvetica" w:cs="Times New Roman"/>
                <w:b/>
                <w:bCs/>
                <w:color w:val="595959" w:themeColor="text1" w:themeTint="A6"/>
                <w:sz w:val="24"/>
                <w:szCs w:val="24"/>
                <w:lang w:eastAsia="cs-CZ"/>
              </w:rPr>
              <w:t>X</w:t>
            </w:r>
          </w:p>
        </w:tc>
        <w:tc>
          <w:tcPr>
            <w:tcW w:w="0" w:type="auto"/>
            <w:tcBorders>
              <w:top w:val="single" w:sz="6" w:space="0" w:color="000000"/>
              <w:left w:val="single" w:sz="6" w:space="0" w:color="000000"/>
              <w:bottom w:val="single" w:sz="6" w:space="0" w:color="000000"/>
              <w:right w:val="single" w:sz="6" w:space="0" w:color="000000"/>
            </w:tcBorders>
            <w:shd w:val="clear" w:color="auto" w:fill="E98437"/>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b/>
                <w:bCs/>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F5000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r>
      <w:tr w:rsidR="00234BD2" w:rsidRPr="00234BD2" w:rsidTr="00DD07AC">
        <w:trPr>
          <w:trHeight w:val="6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roofErr w:type="gramStart"/>
            <w:r w:rsidRPr="00234BD2">
              <w:rPr>
                <w:rFonts w:ascii="Helvetica" w:eastAsia="Times New Roman" w:hAnsi="Helvetica" w:cs="Times New Roman"/>
                <w:color w:val="595959" w:themeColor="text1" w:themeTint="A6"/>
                <w:sz w:val="24"/>
                <w:szCs w:val="24"/>
                <w:lang w:eastAsia="cs-CZ"/>
              </w:rPr>
              <w:t>&lt; 50</w:t>
            </w:r>
            <w:proofErr w:type="gramEnd"/>
            <w:r w:rsidRPr="00234BD2">
              <w:rPr>
                <w:rFonts w:ascii="Helvetica" w:eastAsia="Times New Roman" w:hAnsi="Helvetica" w:cs="Times New Roman"/>
                <w:color w:val="595959" w:themeColor="text1" w:themeTint="A6"/>
                <w:sz w:val="24"/>
                <w:szCs w:val="24"/>
                <w:lang w:eastAsia="cs-CZ"/>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98437"/>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r>
    </w:tbl>
    <w:p w:rsidR="00513C11" w:rsidRPr="00234BD2" w:rsidRDefault="00513C11" w:rsidP="00DD07AC">
      <w:pPr>
        <w:spacing w:after="0" w:line="20" w:lineRule="atLeast"/>
        <w:rPr>
          <w:rFonts w:ascii="Helvetica" w:hAnsi="Helvetica" w:cs="Times New Roman"/>
          <w:color w:val="595959" w:themeColor="text1" w:themeTint="A6"/>
          <w:sz w:val="24"/>
          <w:szCs w:val="24"/>
        </w:rPr>
      </w:pPr>
    </w:p>
    <w:p w:rsidR="00513C11" w:rsidRPr="00234BD2" w:rsidRDefault="00513C11" w:rsidP="00DD07AC">
      <w:pPr>
        <w:spacing w:after="0" w:line="20" w:lineRule="atLeast"/>
        <w:rPr>
          <w:rFonts w:ascii="Helvetica" w:hAnsi="Helvetica" w:cs="Times New Roman"/>
          <w:b/>
          <w:bCs/>
          <w:color w:val="595959" w:themeColor="text1" w:themeTint="A6"/>
          <w:sz w:val="24"/>
          <w:szCs w:val="24"/>
        </w:rPr>
      </w:pPr>
      <w:r w:rsidRPr="00234BD2">
        <w:rPr>
          <w:rFonts w:ascii="Helvetica" w:hAnsi="Helvetica" w:cs="Times New Roman"/>
          <w:b/>
          <w:bCs/>
          <w:color w:val="595959" w:themeColor="text1" w:themeTint="A6"/>
          <w:sz w:val="24"/>
          <w:szCs w:val="24"/>
        </w:rPr>
        <w:t>Čerstvý jihozápadní, postupně západní vítr s nárazy 15 až 20 m/s (až 70 km/h).</w:t>
      </w:r>
    </w:p>
    <w:p w:rsidR="00513C11" w:rsidRPr="00234BD2" w:rsidRDefault="00513C11" w:rsidP="00DD07AC">
      <w:pPr>
        <w:spacing w:after="0" w:line="20" w:lineRule="atLeast"/>
        <w:jc w:val="both"/>
        <w:rPr>
          <w:rFonts w:ascii="Helvetica" w:hAnsi="Helvetica" w:cs="Times New Roman"/>
          <w:color w:val="595959" w:themeColor="text1" w:themeTint="A6"/>
          <w:sz w:val="24"/>
          <w:szCs w:val="24"/>
        </w:rPr>
      </w:pPr>
      <w:r w:rsidRPr="00234BD2">
        <w:rPr>
          <w:rFonts w:ascii="Helvetica" w:hAnsi="Helvetica" w:cs="Times New Roman"/>
          <w:color w:val="595959" w:themeColor="text1" w:themeTint="A6"/>
          <w:sz w:val="24"/>
          <w:szCs w:val="24"/>
        </w:rPr>
        <w:t>Doporučení ke zmírnění následků jevu: Možná poškození stromů a lesních porostů, možné menší škody na budovách. Nebezpečí úrazu uvolněnými předměty a zlomenými větvemi, možné komplikace v dopravě. Doporučuje se zajistit okna, dveře, odstranit nebo upevnit volně uložené předměty, zabezpečit skleníky apod. Dbát zvýšené opatrnosti při pohybu venku a při řízení vozidel. Na horách omezit túry a nevydávat se zejména do hřebenových partií.</w:t>
      </w:r>
    </w:p>
    <w:p w:rsidR="00513C11" w:rsidRPr="00234BD2" w:rsidRDefault="00513C11" w:rsidP="00DD07AC">
      <w:pPr>
        <w:spacing w:after="0" w:line="20" w:lineRule="atLeast"/>
        <w:jc w:val="both"/>
        <w:rPr>
          <w:rFonts w:ascii="Helvetica" w:hAnsi="Helvetica" w:cs="Times New Roman"/>
          <w:b/>
          <w:bCs/>
          <w:color w:val="595959" w:themeColor="text1" w:themeTint="A6"/>
          <w:sz w:val="24"/>
          <w:szCs w:val="24"/>
        </w:rPr>
      </w:pPr>
      <w:r w:rsidRPr="00234BD2">
        <w:rPr>
          <w:rFonts w:ascii="Helvetica" w:hAnsi="Helvetica" w:cs="Times New Roman"/>
          <w:b/>
          <w:bCs/>
          <w:color w:val="595959" w:themeColor="text1" w:themeTint="A6"/>
          <w:sz w:val="24"/>
          <w:szCs w:val="24"/>
        </w:rPr>
        <w:t>Výstraha před jevem s vysokou pravděpodobností výskytu: Silný vítr</w:t>
      </w:r>
    </w:p>
    <w:p w:rsidR="00DD07AC" w:rsidRPr="00234BD2" w:rsidRDefault="00DD07AC" w:rsidP="00DD07AC">
      <w:pPr>
        <w:spacing w:after="0" w:line="20" w:lineRule="atLeast"/>
        <w:jc w:val="both"/>
        <w:rPr>
          <w:rFonts w:ascii="Helvetica" w:hAnsi="Helvetica" w:cs="Times New Roman"/>
          <w:b/>
          <w:bCs/>
          <w:color w:val="595959" w:themeColor="text1" w:themeTint="A6"/>
          <w:sz w:val="24"/>
          <w:szCs w:val="24"/>
        </w:rPr>
      </w:pPr>
    </w:p>
    <w:p w:rsidR="00513C11" w:rsidRPr="00234BD2" w:rsidRDefault="00513C11" w:rsidP="00DD07AC">
      <w:pPr>
        <w:spacing w:after="0" w:line="20" w:lineRule="atLeast"/>
        <w:jc w:val="both"/>
        <w:rPr>
          <w:rFonts w:ascii="Helvetica" w:hAnsi="Helvetica" w:cs="Times New Roman"/>
          <w:b/>
          <w:bCs/>
          <w:color w:val="FF0000"/>
          <w:sz w:val="24"/>
          <w:szCs w:val="24"/>
        </w:rPr>
      </w:pPr>
      <w:r w:rsidRPr="00234BD2">
        <w:rPr>
          <w:rFonts w:ascii="Helvetica" w:hAnsi="Helvetica" w:cs="Times New Roman"/>
          <w:b/>
          <w:bCs/>
          <w:color w:val="FF0000"/>
          <w:sz w:val="24"/>
          <w:szCs w:val="24"/>
        </w:rPr>
        <w:t>Platnost: od 2.2.2022 00:00 do 2.2.2022 18:00</w:t>
      </w:r>
    </w:p>
    <w:p w:rsidR="00513C11" w:rsidRPr="00234BD2" w:rsidRDefault="00513C11" w:rsidP="00DD07AC">
      <w:pPr>
        <w:spacing w:after="0" w:line="20" w:lineRule="atLeast"/>
        <w:jc w:val="both"/>
        <w:rPr>
          <w:rFonts w:ascii="Helvetica" w:hAnsi="Helvetica" w:cs="Times New Roman"/>
          <w:color w:val="595959" w:themeColor="text1" w:themeTint="A6"/>
          <w:sz w:val="24"/>
          <w:szCs w:val="24"/>
        </w:rPr>
      </w:pPr>
      <w:r w:rsidRPr="00234BD2">
        <w:rPr>
          <w:rFonts w:ascii="Helvetica" w:hAnsi="Helvetica" w:cs="Times New Roman"/>
          <w:color w:val="595959" w:themeColor="text1" w:themeTint="A6"/>
          <w:sz w:val="24"/>
          <w:szCs w:val="24"/>
        </w:rPr>
        <w:t xml:space="preserve">Pro kraje: Hlavní město Praha, </w:t>
      </w:r>
      <w:r w:rsidRPr="00234BD2">
        <w:rPr>
          <w:rFonts w:ascii="Helvetica" w:hAnsi="Helvetica" w:cs="Times New Roman"/>
          <w:b/>
          <w:bCs/>
          <w:color w:val="FF0000"/>
          <w:sz w:val="24"/>
          <w:szCs w:val="24"/>
        </w:rPr>
        <w:t>Středočeský kraj</w:t>
      </w:r>
      <w:r w:rsidRPr="00234BD2">
        <w:rPr>
          <w:rFonts w:ascii="Helvetica" w:hAnsi="Helvetica" w:cs="Times New Roman"/>
          <w:color w:val="595959" w:themeColor="text1" w:themeTint="A6"/>
          <w:sz w:val="24"/>
          <w:szCs w:val="24"/>
        </w:rPr>
        <w:t>, Jihočeský kraj, Plzeňský kraj, Karlovarský kraj, Ústecký kraj, Liberecký kraj, Královéhradecký kraj, Pardubický kraj, Kraj Vysočina, Jihomoravský kraj (Blansko, Boskovice, Brno, Bučovice, Hustopeče, Ivančice, Kuřim, Mikulov, Moravský Krumlov, Pohořelice, Rosice, Slavkov u Brna, Šlapanice, Tišnov, Vyškov, Znojmo, Židlochovice)</w:t>
      </w:r>
    </w:p>
    <w:p w:rsidR="00DD07AC" w:rsidRPr="00234BD2" w:rsidRDefault="00DD07AC" w:rsidP="00DD07AC">
      <w:pPr>
        <w:spacing w:after="0" w:line="20" w:lineRule="atLeast"/>
        <w:jc w:val="both"/>
        <w:rPr>
          <w:rFonts w:ascii="Helvetica" w:hAnsi="Helvetica" w:cs="Times New Roman"/>
          <w:color w:val="595959" w:themeColor="text1" w:themeTint="A6"/>
          <w:sz w:val="24"/>
          <w:szCs w:val="24"/>
        </w:rPr>
      </w:pPr>
    </w:p>
    <w:tbl>
      <w:tblPr>
        <w:tblW w:w="7244" w:type="dxa"/>
        <w:jc w:val="center"/>
        <w:shd w:val="clear" w:color="auto" w:fill="002060"/>
        <w:tblCellMar>
          <w:top w:w="15" w:type="dxa"/>
          <w:left w:w="15" w:type="dxa"/>
          <w:bottom w:w="15" w:type="dxa"/>
          <w:right w:w="15" w:type="dxa"/>
        </w:tblCellMar>
        <w:tblLook w:val="04A0" w:firstRow="1" w:lastRow="0" w:firstColumn="1" w:lastColumn="0" w:noHBand="0" w:noVBand="1"/>
      </w:tblPr>
      <w:tblGrid>
        <w:gridCol w:w="2304"/>
        <w:gridCol w:w="1577"/>
        <w:gridCol w:w="918"/>
        <w:gridCol w:w="1121"/>
        <w:gridCol w:w="1324"/>
      </w:tblGrid>
      <w:tr w:rsidR="00234BD2" w:rsidRPr="00234BD2" w:rsidTr="00DD07AC">
        <w:trPr>
          <w:trHeight w:val="211"/>
          <w:jc w:val="center"/>
        </w:trPr>
        <w:tc>
          <w:tcPr>
            <w:tcW w:w="2304" w:type="dxa"/>
            <w:vMerge w:val="restart"/>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bottom"/>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Pravděpodobnost</w:t>
            </w:r>
          </w:p>
        </w:tc>
        <w:tc>
          <w:tcPr>
            <w:tcW w:w="1577" w:type="dxa"/>
            <w:vMerge w:val="restart"/>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Intenzita</w:t>
            </w:r>
          </w:p>
        </w:tc>
      </w:tr>
      <w:tr w:rsidR="00234BD2" w:rsidRPr="00234BD2" w:rsidTr="00DD07AC">
        <w:trPr>
          <w:trHeight w:val="2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918" w:type="dxa"/>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Nízká</w:t>
            </w:r>
          </w:p>
        </w:tc>
        <w:tc>
          <w:tcPr>
            <w:tcW w:w="1121" w:type="dxa"/>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Vysoká</w:t>
            </w:r>
          </w:p>
        </w:tc>
        <w:tc>
          <w:tcPr>
            <w:tcW w:w="1324" w:type="dxa"/>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Extrémní</w:t>
            </w:r>
          </w:p>
        </w:tc>
      </w:tr>
      <w:tr w:rsidR="00234BD2" w:rsidRPr="00234BD2" w:rsidTr="00DD07AC">
        <w:trPr>
          <w:trHeight w:val="266"/>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Pozorování</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98437"/>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F5000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r>
      <w:tr w:rsidR="00234BD2" w:rsidRPr="00234BD2" w:rsidTr="00DD07AC">
        <w:trPr>
          <w:trHeight w:val="2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lang w:eastAsia="cs-CZ"/>
              </w:rPr>
              <w:t>&gt; 50 %</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3C11" w:rsidRPr="00234BD2" w:rsidRDefault="00513C11" w:rsidP="00DD07AC">
            <w:pPr>
              <w:spacing w:after="0" w:line="20" w:lineRule="atLeast"/>
              <w:jc w:val="center"/>
              <w:rPr>
                <w:rFonts w:ascii="Helvetica" w:eastAsia="Times New Roman" w:hAnsi="Helvetica" w:cs="Times New Roman"/>
                <w:b/>
                <w:bCs/>
                <w:color w:val="595959" w:themeColor="text1" w:themeTint="A6"/>
                <w:sz w:val="24"/>
                <w:szCs w:val="24"/>
                <w:lang w:eastAsia="cs-CZ"/>
              </w:rPr>
            </w:pPr>
            <w:r w:rsidRPr="00234BD2">
              <w:rPr>
                <w:rFonts w:ascii="Helvetica" w:eastAsia="Times New Roman" w:hAnsi="Helvetica" w:cs="Times New Roman"/>
                <w:b/>
                <w:bCs/>
                <w:color w:val="595959" w:themeColor="text1" w:themeTint="A6"/>
                <w:sz w:val="24"/>
                <w:szCs w:val="24"/>
                <w:lang w:eastAsia="cs-CZ"/>
              </w:rPr>
              <w:t>X</w:t>
            </w:r>
          </w:p>
        </w:tc>
        <w:tc>
          <w:tcPr>
            <w:tcW w:w="0" w:type="auto"/>
            <w:tcBorders>
              <w:top w:val="single" w:sz="6" w:space="0" w:color="000000"/>
              <w:left w:val="single" w:sz="6" w:space="0" w:color="000000"/>
              <w:bottom w:val="single" w:sz="6" w:space="0" w:color="000000"/>
              <w:right w:val="single" w:sz="6" w:space="0" w:color="000000"/>
            </w:tcBorders>
            <w:shd w:val="clear" w:color="auto" w:fill="E98437"/>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b/>
                <w:bCs/>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F5000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r>
      <w:tr w:rsidR="00234BD2" w:rsidRPr="00234BD2" w:rsidTr="00DD07AC">
        <w:trPr>
          <w:trHeight w:val="220"/>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002060"/>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00206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roofErr w:type="gramStart"/>
            <w:r w:rsidRPr="00234BD2">
              <w:rPr>
                <w:rFonts w:ascii="Helvetica" w:eastAsia="Times New Roman" w:hAnsi="Helvetica" w:cs="Times New Roman"/>
                <w:color w:val="595959" w:themeColor="text1" w:themeTint="A6"/>
                <w:sz w:val="24"/>
                <w:szCs w:val="24"/>
                <w:lang w:eastAsia="cs-CZ"/>
              </w:rPr>
              <w:t>&lt; 50</w:t>
            </w:r>
            <w:proofErr w:type="gramEnd"/>
            <w:r w:rsidRPr="00234BD2">
              <w:rPr>
                <w:rFonts w:ascii="Helvetica" w:eastAsia="Times New Roman" w:hAnsi="Helvetica" w:cs="Times New Roman"/>
                <w:color w:val="595959" w:themeColor="text1" w:themeTint="A6"/>
                <w:sz w:val="24"/>
                <w:szCs w:val="24"/>
                <w:lang w:eastAsia="cs-CZ"/>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98437"/>
            <w:tcMar>
              <w:top w:w="75" w:type="dxa"/>
              <w:left w:w="75" w:type="dxa"/>
              <w:bottom w:w="75" w:type="dxa"/>
              <w:right w:w="75" w:type="dxa"/>
            </w:tcMar>
            <w:vAlign w:val="center"/>
            <w:hideMark/>
          </w:tcPr>
          <w:p w:rsidR="00513C11" w:rsidRPr="00234BD2" w:rsidRDefault="00513C11" w:rsidP="00DD07AC">
            <w:pPr>
              <w:spacing w:after="0" w:line="20" w:lineRule="atLeast"/>
              <w:jc w:val="center"/>
              <w:rPr>
                <w:rFonts w:ascii="Helvetica" w:eastAsia="Times New Roman" w:hAnsi="Helvetica" w:cs="Times New Roman"/>
                <w:color w:val="595959" w:themeColor="text1" w:themeTint="A6"/>
                <w:sz w:val="24"/>
                <w:szCs w:val="24"/>
                <w:lang w:eastAsia="cs-CZ"/>
              </w:rPr>
            </w:pPr>
          </w:p>
        </w:tc>
      </w:tr>
    </w:tbl>
    <w:p w:rsidR="00513C11" w:rsidRPr="00234BD2" w:rsidRDefault="00513C11" w:rsidP="00DD07AC">
      <w:pPr>
        <w:spacing w:after="0" w:line="20" w:lineRule="atLeast"/>
        <w:jc w:val="both"/>
        <w:rPr>
          <w:rFonts w:ascii="Helvetica" w:hAnsi="Helvetica" w:cs="Times New Roman"/>
          <w:color w:val="595959" w:themeColor="text1" w:themeTint="A6"/>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6"/>
      </w:tblGrid>
      <w:tr w:rsidR="00513C11" w:rsidRPr="00234BD2" w:rsidTr="004D75AC">
        <w:tc>
          <w:tcPr>
            <w:tcW w:w="0" w:type="auto"/>
            <w:shd w:val="clear" w:color="auto" w:fill="auto"/>
            <w:tcMar>
              <w:top w:w="0" w:type="dxa"/>
              <w:left w:w="75" w:type="dxa"/>
              <w:bottom w:w="0" w:type="dxa"/>
              <w:right w:w="0" w:type="dxa"/>
            </w:tcMar>
            <w:hideMark/>
          </w:tcPr>
          <w:p w:rsidR="00513C11" w:rsidRPr="00234BD2" w:rsidRDefault="00513C11" w:rsidP="00DD07AC">
            <w:pPr>
              <w:spacing w:after="0" w:line="20" w:lineRule="atLeast"/>
              <w:rPr>
                <w:rFonts w:ascii="Helvetica" w:eastAsia="Times New Roman" w:hAnsi="Helvetica" w:cs="Times New Roman"/>
                <w:b/>
                <w:bCs/>
                <w:color w:val="595959" w:themeColor="text1" w:themeTint="A6"/>
                <w:sz w:val="24"/>
                <w:szCs w:val="24"/>
                <w:lang w:eastAsia="cs-CZ"/>
              </w:rPr>
            </w:pPr>
            <w:r w:rsidRPr="00234BD2">
              <w:rPr>
                <w:rFonts w:ascii="Helvetica" w:eastAsia="Times New Roman" w:hAnsi="Helvetica" w:cs="Times New Roman"/>
                <w:b/>
                <w:bCs/>
                <w:color w:val="595959" w:themeColor="text1" w:themeTint="A6"/>
                <w:sz w:val="24"/>
                <w:szCs w:val="24"/>
                <w:lang w:eastAsia="cs-CZ"/>
              </w:rPr>
              <w:t>Čerstvý západní, postupně severozápadní vítr s nárazy 15 až 20 m/s (až 70 km/h)</w:t>
            </w:r>
          </w:p>
          <w:p w:rsidR="00513C11" w:rsidRPr="00234BD2" w:rsidRDefault="00513C11" w:rsidP="00DD07AC">
            <w:pPr>
              <w:spacing w:after="0" w:line="20" w:lineRule="atLeast"/>
              <w:rPr>
                <w:rFonts w:ascii="Helvetica" w:eastAsia="Times New Roman" w:hAnsi="Helvetica" w:cs="Times New Roman"/>
                <w:color w:val="595959" w:themeColor="text1" w:themeTint="A6"/>
                <w:sz w:val="24"/>
                <w:szCs w:val="24"/>
                <w:lang w:eastAsia="cs-CZ"/>
              </w:rPr>
            </w:pPr>
            <w:r w:rsidRPr="00234BD2">
              <w:rPr>
                <w:rFonts w:ascii="Helvetica" w:eastAsia="Times New Roman" w:hAnsi="Helvetica" w:cs="Times New Roman"/>
                <w:color w:val="595959" w:themeColor="text1" w:themeTint="A6"/>
                <w:sz w:val="24"/>
                <w:szCs w:val="24"/>
                <w:u w:val="single"/>
                <w:lang w:eastAsia="cs-CZ"/>
              </w:rPr>
              <w:t>Doporučení ke zmírnění následků jevu</w:t>
            </w:r>
            <w:r w:rsidRPr="00234BD2">
              <w:rPr>
                <w:rFonts w:ascii="Helvetica" w:eastAsia="Times New Roman" w:hAnsi="Helvetica" w:cs="Times New Roman"/>
                <w:color w:val="595959" w:themeColor="text1" w:themeTint="A6"/>
                <w:sz w:val="24"/>
                <w:szCs w:val="24"/>
                <w:lang w:eastAsia="cs-CZ"/>
              </w:rPr>
              <w:t>: Možná poškození stromů a lesních porostů, možné menší škody na budovách. Nebezpečí úrazu uvolněnými předměty a zlomenými větvemi, možné komplikace v dopravě. Doporučuje se zajistit okna, dveře, odstranit nebo upevnit volně uložené předměty, zabezpečit skleníky apod. Dbát zvýšené opatrnosti při pohybu venku a při řízení vozidel. Na horách omezit túry a nevydávat se zejména do hřebenových partií.</w:t>
            </w:r>
          </w:p>
        </w:tc>
      </w:tr>
    </w:tbl>
    <w:p w:rsidR="00513C11" w:rsidRPr="00234BD2" w:rsidRDefault="00513C11" w:rsidP="00DD07AC">
      <w:pPr>
        <w:spacing w:after="0" w:line="20" w:lineRule="atLeast"/>
        <w:jc w:val="both"/>
        <w:rPr>
          <w:rFonts w:ascii="Helvetica" w:hAnsi="Helvetica" w:cs="Times New Roman"/>
          <w:color w:val="595959" w:themeColor="text1" w:themeTint="A6"/>
        </w:rPr>
      </w:pPr>
    </w:p>
    <w:sectPr w:rsidR="00513C11" w:rsidRPr="00234BD2" w:rsidSect="00DD0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11"/>
    <w:rsid w:val="00234BD2"/>
    <w:rsid w:val="00513C11"/>
    <w:rsid w:val="00DD0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F971"/>
  <w15:chartTrackingRefBased/>
  <w15:docId w15:val="{1DCA7839-7D5F-47FD-A648-B86B4E3D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1880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Čechová Lenka</dc:creator>
  <cp:keywords/>
  <dc:description/>
  <cp:lastModifiedBy>Čechová Lenka</cp:lastModifiedBy>
  <cp:revision>2</cp:revision>
  <dcterms:created xsi:type="dcterms:W3CDTF">2022-01-31T13:39:00Z</dcterms:created>
  <dcterms:modified xsi:type="dcterms:W3CDTF">2022-01-31T14:06:00Z</dcterms:modified>
</cp:coreProperties>
</file>