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D804" w14:textId="77777777" w:rsidR="00E540B7" w:rsidRPr="00E540B7" w:rsidRDefault="00E540B7" w:rsidP="00E540B7">
      <w:pPr>
        <w:shd w:val="clear" w:color="auto" w:fill="DDDDDD"/>
        <w:spacing w:after="0" w:line="240" w:lineRule="auto"/>
        <w:rPr>
          <w:rFonts w:ascii="Helvetica" w:eastAsia="Times New Roman" w:hAnsi="Helvetica" w:cs="Helvetica"/>
          <w:b/>
          <w:bCs/>
          <w:color w:val="333333"/>
          <w:sz w:val="21"/>
          <w:szCs w:val="21"/>
          <w:lang w:eastAsia="cs-CZ"/>
        </w:rPr>
      </w:pPr>
      <w:r w:rsidRPr="00E540B7">
        <w:rPr>
          <w:rFonts w:ascii="Helvetica" w:eastAsia="Times New Roman" w:hAnsi="Helvetica" w:cs="Helvetica"/>
          <w:b/>
          <w:bCs/>
          <w:color w:val="333333"/>
          <w:sz w:val="21"/>
          <w:szCs w:val="21"/>
          <w:lang w:eastAsia="cs-CZ"/>
        </w:rPr>
        <w:br/>
        <w:t>Výstraha před </w:t>
      </w:r>
      <w:r w:rsidRPr="00E540B7">
        <w:rPr>
          <w:rFonts w:ascii="Helvetica" w:eastAsia="Times New Roman" w:hAnsi="Helvetica" w:cs="Helvetica"/>
          <w:b/>
          <w:bCs/>
          <w:color w:val="333333"/>
          <w:sz w:val="21"/>
          <w:szCs w:val="21"/>
          <w:u w:val="single"/>
          <w:lang w:eastAsia="cs-CZ"/>
        </w:rPr>
        <w:t>jevem s vysokou pravděpodobností výskytu</w:t>
      </w:r>
      <w:r w:rsidRPr="00E540B7">
        <w:rPr>
          <w:rFonts w:ascii="Helvetica" w:eastAsia="Times New Roman" w:hAnsi="Helvetica" w:cs="Helvetica"/>
          <w:b/>
          <w:bCs/>
          <w:color w:val="333333"/>
          <w:sz w:val="21"/>
          <w:szCs w:val="21"/>
          <w:lang w:eastAsia="cs-CZ"/>
        </w:rPr>
        <w:t>: Velmi silný vítr</w:t>
      </w:r>
    </w:p>
    <w:p w14:paraId="1862EC0B" w14:textId="7FC8824B" w:rsidR="00E540B7" w:rsidRDefault="00E540B7" w:rsidP="00E540B7">
      <w:pPr>
        <w:shd w:val="clear" w:color="auto" w:fill="DDDDDD"/>
        <w:spacing w:after="0" w:line="240" w:lineRule="auto"/>
        <w:rPr>
          <w:rFonts w:ascii="Helvetica" w:eastAsia="Times New Roman" w:hAnsi="Helvetica" w:cs="Helvetica"/>
          <w:b/>
          <w:bCs/>
          <w:color w:val="333333"/>
          <w:sz w:val="21"/>
          <w:szCs w:val="21"/>
          <w:lang w:eastAsia="cs-CZ"/>
        </w:rPr>
      </w:pPr>
      <w:r w:rsidRPr="00E540B7">
        <w:rPr>
          <w:rFonts w:ascii="Helvetica" w:eastAsia="Times New Roman" w:hAnsi="Helvetica" w:cs="Helvetica"/>
          <w:b/>
          <w:bCs/>
          <w:color w:val="333333"/>
          <w:sz w:val="21"/>
          <w:szCs w:val="21"/>
          <w:lang w:eastAsia="cs-CZ"/>
        </w:rPr>
        <w:t>Platnost: od 21.10.2021 09:00 do 21.10.2021 20:00</w:t>
      </w:r>
    </w:p>
    <w:p w14:paraId="4A3B7B1F" w14:textId="77777777" w:rsidR="00E540B7" w:rsidRPr="00E540B7" w:rsidRDefault="00E540B7" w:rsidP="00E540B7">
      <w:pPr>
        <w:shd w:val="clear" w:color="auto" w:fill="DDDDDD"/>
        <w:spacing w:after="0" w:line="240" w:lineRule="auto"/>
        <w:rPr>
          <w:rFonts w:ascii="Helvetica" w:eastAsia="Times New Roman" w:hAnsi="Helvetica" w:cs="Helvetica"/>
          <w:b/>
          <w:bCs/>
          <w:color w:val="333333"/>
          <w:sz w:val="21"/>
          <w:szCs w:val="21"/>
          <w:lang w:eastAsia="cs-CZ"/>
        </w:rPr>
      </w:pPr>
    </w:p>
    <w:p w14:paraId="26062CA0" w14:textId="77777777" w:rsidR="00E540B7" w:rsidRPr="00E540B7" w:rsidRDefault="00E540B7" w:rsidP="00E540B7">
      <w:pPr>
        <w:shd w:val="clear" w:color="auto" w:fill="F0F0F0"/>
        <w:spacing w:after="0" w:line="240" w:lineRule="auto"/>
        <w:rPr>
          <w:rFonts w:ascii="Helvetica" w:eastAsia="Times New Roman" w:hAnsi="Helvetica" w:cs="Helvetica"/>
          <w:color w:val="333333"/>
          <w:sz w:val="24"/>
          <w:szCs w:val="24"/>
          <w:lang w:eastAsia="cs-CZ"/>
        </w:rPr>
      </w:pPr>
      <w:r w:rsidRPr="00E540B7">
        <w:rPr>
          <w:rFonts w:ascii="Helvetica" w:eastAsia="Times New Roman" w:hAnsi="Helvetica" w:cs="Helvetica"/>
          <w:color w:val="333333"/>
          <w:sz w:val="24"/>
          <w:szCs w:val="24"/>
          <w:lang w:eastAsia="cs-CZ"/>
        </w:rPr>
        <w:t xml:space="preserve">Pro kraje: Hlavní město Praha, Středočeský kraj (Benešov, Beroun, Brandýs nad Labem-Stará Boleslav, Čáslav, Černošice, Český Brod, Dobříš, Hořovice, Kladno, Kolín, Kralupy nad Vltavou, Kutná Hora, Lysá nad Labem, </w:t>
      </w:r>
      <w:r w:rsidRPr="00E540B7">
        <w:rPr>
          <w:rFonts w:ascii="Helvetica" w:eastAsia="Times New Roman" w:hAnsi="Helvetica" w:cs="Helvetica"/>
          <w:b/>
          <w:bCs/>
          <w:color w:val="FF0000"/>
          <w:sz w:val="24"/>
          <w:szCs w:val="24"/>
          <w:lang w:eastAsia="cs-CZ"/>
        </w:rPr>
        <w:t>Mělník</w:t>
      </w:r>
      <w:r w:rsidRPr="00E540B7">
        <w:rPr>
          <w:rFonts w:ascii="Helvetica" w:eastAsia="Times New Roman" w:hAnsi="Helvetica" w:cs="Helvetica"/>
          <w:color w:val="333333"/>
          <w:sz w:val="24"/>
          <w:szCs w:val="24"/>
          <w:lang w:eastAsia="cs-CZ"/>
        </w:rPr>
        <w:t xml:space="preserve">, Mladá Boleslav, Mnichovo Hradiště, </w:t>
      </w:r>
      <w:r w:rsidRPr="00E540B7">
        <w:rPr>
          <w:rFonts w:ascii="Helvetica" w:eastAsia="Times New Roman" w:hAnsi="Helvetica" w:cs="Helvetica"/>
          <w:b/>
          <w:bCs/>
          <w:color w:val="FF0000"/>
          <w:sz w:val="24"/>
          <w:szCs w:val="24"/>
          <w:lang w:eastAsia="cs-CZ"/>
        </w:rPr>
        <w:t>Neratovice</w:t>
      </w:r>
      <w:r w:rsidRPr="00E540B7">
        <w:rPr>
          <w:rFonts w:ascii="Helvetica" w:eastAsia="Times New Roman" w:hAnsi="Helvetica" w:cs="Helvetica"/>
          <w:color w:val="333333"/>
          <w:sz w:val="24"/>
          <w:szCs w:val="24"/>
          <w:lang w:eastAsia="cs-CZ"/>
        </w:rPr>
        <w:t>, Nymburk, Poděbrady, Rakovník, Říčany, Sedlčany, Slaný, Vlašim, Votice), Jihočeský kraj (Blatná, České Budějovice, Milevsko, Písek, Tábor, Týn nad Vltavou, Vodňany), Plzeňský kraj (Blovice, Horažďovice, Horšovský Týn, Kralovice, Nepomuk, Nýřany, Plzeň, Přeštice, Rokycany, Stod, Stříbro), Karlovarský kraj (Aš), Ústecký kraj (Louny, Podbořany, Rumburk, Varnsdorf, Žatec)</w:t>
      </w:r>
    </w:p>
    <w:tbl>
      <w:tblPr>
        <w:tblW w:w="0" w:type="auto"/>
        <w:tblCellMar>
          <w:top w:w="15" w:type="dxa"/>
          <w:left w:w="15" w:type="dxa"/>
          <w:bottom w:w="15" w:type="dxa"/>
          <w:right w:w="15" w:type="dxa"/>
        </w:tblCellMar>
        <w:tblLook w:val="04A0" w:firstRow="1" w:lastRow="0" w:firstColumn="1" w:lastColumn="0" w:noHBand="0" w:noVBand="1"/>
      </w:tblPr>
      <w:tblGrid>
        <w:gridCol w:w="4366"/>
        <w:gridCol w:w="4706"/>
      </w:tblGrid>
      <w:tr w:rsidR="00E540B7" w:rsidRPr="00E540B7" w14:paraId="08CFEDB9" w14:textId="77777777" w:rsidTr="00E540B7">
        <w:tc>
          <w:tcPr>
            <w:tcW w:w="0" w:type="auto"/>
            <w:shd w:val="clear" w:color="auto" w:fill="auto"/>
            <w:tcMar>
              <w:top w:w="0" w:type="dxa"/>
              <w:left w:w="0" w:type="dxa"/>
              <w:bottom w:w="0" w:type="dxa"/>
              <w:right w:w="75" w:type="dxa"/>
            </w:tcMar>
            <w:hideMark/>
          </w:tcPr>
          <w:tbl>
            <w:tblPr>
              <w:tblW w:w="4275" w:type="dxa"/>
              <w:shd w:val="clear" w:color="auto" w:fill="002060"/>
              <w:tblCellMar>
                <w:top w:w="15" w:type="dxa"/>
                <w:left w:w="15" w:type="dxa"/>
                <w:bottom w:w="15" w:type="dxa"/>
                <w:right w:w="15" w:type="dxa"/>
              </w:tblCellMar>
              <w:tblLook w:val="04A0" w:firstRow="1" w:lastRow="0" w:firstColumn="1" w:lastColumn="0" w:noHBand="0" w:noVBand="1"/>
            </w:tblPr>
            <w:tblGrid>
              <w:gridCol w:w="1331"/>
              <w:gridCol w:w="927"/>
              <w:gridCol w:w="560"/>
              <w:gridCol w:w="673"/>
              <w:gridCol w:w="784"/>
            </w:tblGrid>
            <w:tr w:rsidR="00E540B7" w:rsidRPr="00E540B7" w14:paraId="61B37A80" w14:textId="77777777" w:rsidTr="00E540B7">
              <w:tc>
                <w:tcPr>
                  <w:tcW w:w="375" w:type="dxa"/>
                  <w:vMerge w:val="restart"/>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bottom"/>
                  <w:hideMark/>
                </w:tcPr>
                <w:p w14:paraId="55EACCAB" w14:textId="77777777" w:rsidR="00E540B7" w:rsidRPr="00E540B7" w:rsidRDefault="00E540B7" w:rsidP="00E540B7">
                  <w:pPr>
                    <w:spacing w:after="0" w:line="240" w:lineRule="auto"/>
                    <w:divId w:val="991830334"/>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Pravděpodobnost</w:t>
                  </w:r>
                </w:p>
              </w:tc>
              <w:tc>
                <w:tcPr>
                  <w:tcW w:w="1125" w:type="dxa"/>
                  <w:vMerge w:val="restart"/>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2BBA8E18"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2EE9FD9F" w14:textId="77777777" w:rsidR="00E540B7" w:rsidRPr="00E540B7" w:rsidRDefault="00E540B7" w:rsidP="00E540B7">
                  <w:pPr>
                    <w:spacing w:after="0" w:line="240" w:lineRule="auto"/>
                    <w:jc w:val="center"/>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Intenzita</w:t>
                  </w:r>
                </w:p>
              </w:tc>
            </w:tr>
            <w:tr w:rsidR="00E540B7" w:rsidRPr="00E540B7" w14:paraId="399CCD42" w14:textId="77777777" w:rsidTr="00E540B7">
              <w:tc>
                <w:tcPr>
                  <w:tcW w:w="0" w:type="auto"/>
                  <w:vMerge/>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3D6F741D"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77C660C9"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900" w:type="dxa"/>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107C0093" w14:textId="77777777" w:rsidR="00E540B7" w:rsidRPr="00E540B7" w:rsidRDefault="00E540B7" w:rsidP="00E540B7">
                  <w:pPr>
                    <w:spacing w:after="0" w:line="240" w:lineRule="auto"/>
                    <w:jc w:val="center"/>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Nízká</w:t>
                  </w:r>
                </w:p>
              </w:tc>
              <w:tc>
                <w:tcPr>
                  <w:tcW w:w="900" w:type="dxa"/>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002EBD21" w14:textId="77777777" w:rsidR="00E540B7" w:rsidRPr="00E540B7" w:rsidRDefault="00E540B7" w:rsidP="00E540B7">
                  <w:pPr>
                    <w:spacing w:after="0" w:line="240" w:lineRule="auto"/>
                    <w:jc w:val="center"/>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Vysoká</w:t>
                  </w:r>
                </w:p>
              </w:tc>
              <w:tc>
                <w:tcPr>
                  <w:tcW w:w="900" w:type="dxa"/>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1C1A5788" w14:textId="77777777" w:rsidR="00E540B7" w:rsidRPr="00E540B7" w:rsidRDefault="00E540B7" w:rsidP="00E540B7">
                  <w:pPr>
                    <w:spacing w:after="0" w:line="240" w:lineRule="auto"/>
                    <w:jc w:val="center"/>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Extrémní</w:t>
                  </w:r>
                </w:p>
              </w:tc>
            </w:tr>
            <w:tr w:rsidR="00E540B7" w:rsidRPr="00E540B7" w14:paraId="57EA400C" w14:textId="77777777" w:rsidTr="00E540B7">
              <w:tc>
                <w:tcPr>
                  <w:tcW w:w="0" w:type="auto"/>
                  <w:vMerge/>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4F7B1E77"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414C8BA1"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Pozorování</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30957582"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98437"/>
                  <w:tcMar>
                    <w:top w:w="75" w:type="dxa"/>
                    <w:left w:w="75" w:type="dxa"/>
                    <w:bottom w:w="75" w:type="dxa"/>
                    <w:right w:w="75" w:type="dxa"/>
                  </w:tcMar>
                  <w:vAlign w:val="center"/>
                  <w:hideMark/>
                </w:tcPr>
                <w:p w14:paraId="70C9C3C8" w14:textId="77777777" w:rsidR="00E540B7" w:rsidRPr="00E540B7" w:rsidRDefault="00E540B7" w:rsidP="00E540B7">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F50000"/>
                  <w:tcMar>
                    <w:top w:w="75" w:type="dxa"/>
                    <w:left w:w="75" w:type="dxa"/>
                    <w:bottom w:w="75" w:type="dxa"/>
                    <w:right w:w="75" w:type="dxa"/>
                  </w:tcMar>
                  <w:vAlign w:val="center"/>
                  <w:hideMark/>
                </w:tcPr>
                <w:p w14:paraId="0768BB68" w14:textId="77777777" w:rsidR="00E540B7" w:rsidRPr="00E540B7" w:rsidRDefault="00E540B7" w:rsidP="00E540B7">
                  <w:pPr>
                    <w:spacing w:after="0" w:line="240" w:lineRule="auto"/>
                    <w:jc w:val="center"/>
                    <w:rPr>
                      <w:rFonts w:ascii="Times New Roman" w:eastAsia="Times New Roman" w:hAnsi="Times New Roman" w:cs="Times New Roman"/>
                      <w:sz w:val="20"/>
                      <w:szCs w:val="20"/>
                      <w:lang w:eastAsia="cs-CZ"/>
                    </w:rPr>
                  </w:pPr>
                </w:p>
              </w:tc>
            </w:tr>
            <w:tr w:rsidR="00E540B7" w:rsidRPr="00E540B7" w14:paraId="622036C1" w14:textId="77777777" w:rsidTr="00E540B7">
              <w:tc>
                <w:tcPr>
                  <w:tcW w:w="0" w:type="auto"/>
                  <w:vMerge/>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50A80033"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581C7752"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r w:rsidRPr="00E540B7">
                    <w:rPr>
                      <w:rFonts w:ascii="Times New Roman" w:eastAsia="Times New Roman" w:hAnsi="Times New Roman" w:cs="Times New Roman"/>
                      <w:color w:val="FFFFFF"/>
                      <w:sz w:val="17"/>
                      <w:szCs w:val="17"/>
                      <w:lang w:eastAsia="cs-CZ"/>
                    </w:rPr>
                    <w:t>&gt; 50 %</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571A79FA"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98437"/>
                  <w:vAlign w:val="center"/>
                  <w:hideMark/>
                </w:tcPr>
                <w:p w14:paraId="2DC648F5" w14:textId="77777777" w:rsidR="00E540B7" w:rsidRPr="00E540B7" w:rsidRDefault="00E540B7" w:rsidP="00E540B7">
                  <w:pPr>
                    <w:spacing w:after="0" w:line="240" w:lineRule="auto"/>
                    <w:jc w:val="center"/>
                    <w:rPr>
                      <w:rFonts w:ascii="Times New Roman" w:eastAsia="Times New Roman" w:hAnsi="Times New Roman" w:cs="Times New Roman"/>
                      <w:b/>
                      <w:bCs/>
                      <w:color w:val="000000"/>
                      <w:sz w:val="20"/>
                      <w:szCs w:val="20"/>
                      <w:lang w:eastAsia="cs-CZ"/>
                    </w:rPr>
                  </w:pPr>
                  <w:r w:rsidRPr="00E540B7">
                    <w:rPr>
                      <w:rFonts w:ascii="Times New Roman" w:eastAsia="Times New Roman" w:hAnsi="Times New Roman" w:cs="Times New Roman"/>
                      <w:b/>
                      <w:bCs/>
                      <w:color w:val="000000"/>
                      <w:sz w:val="20"/>
                      <w:szCs w:val="20"/>
                      <w:lang w:eastAsia="cs-CZ"/>
                    </w:rPr>
                    <w:t>X</w:t>
                  </w:r>
                </w:p>
              </w:tc>
              <w:tc>
                <w:tcPr>
                  <w:tcW w:w="0" w:type="auto"/>
                  <w:tcBorders>
                    <w:top w:val="single" w:sz="6" w:space="0" w:color="000000"/>
                    <w:left w:val="single" w:sz="6" w:space="0" w:color="000000"/>
                    <w:bottom w:val="single" w:sz="6" w:space="0" w:color="000000"/>
                    <w:right w:val="single" w:sz="6" w:space="0" w:color="000000"/>
                  </w:tcBorders>
                  <w:shd w:val="clear" w:color="auto" w:fill="F50000"/>
                  <w:tcMar>
                    <w:top w:w="75" w:type="dxa"/>
                    <w:left w:w="75" w:type="dxa"/>
                    <w:bottom w:w="75" w:type="dxa"/>
                    <w:right w:w="75" w:type="dxa"/>
                  </w:tcMar>
                  <w:vAlign w:val="center"/>
                  <w:hideMark/>
                </w:tcPr>
                <w:p w14:paraId="2AE9B061" w14:textId="77777777" w:rsidR="00E540B7" w:rsidRPr="00E540B7" w:rsidRDefault="00E540B7" w:rsidP="00E540B7">
                  <w:pPr>
                    <w:spacing w:after="0" w:line="240" w:lineRule="auto"/>
                    <w:jc w:val="center"/>
                    <w:rPr>
                      <w:rFonts w:ascii="Times New Roman" w:eastAsia="Times New Roman" w:hAnsi="Times New Roman" w:cs="Times New Roman"/>
                      <w:b/>
                      <w:bCs/>
                      <w:color w:val="000000"/>
                      <w:sz w:val="20"/>
                      <w:szCs w:val="20"/>
                      <w:lang w:eastAsia="cs-CZ"/>
                    </w:rPr>
                  </w:pPr>
                </w:p>
              </w:tc>
            </w:tr>
            <w:tr w:rsidR="00E540B7" w:rsidRPr="00E540B7" w14:paraId="613BAAD0" w14:textId="77777777" w:rsidTr="00E540B7">
              <w:tc>
                <w:tcPr>
                  <w:tcW w:w="0" w:type="auto"/>
                  <w:vMerge/>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08E168D4"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002060"/>
                  <w:tcMar>
                    <w:top w:w="75" w:type="dxa"/>
                    <w:left w:w="75" w:type="dxa"/>
                    <w:bottom w:w="75" w:type="dxa"/>
                    <w:right w:w="75" w:type="dxa"/>
                  </w:tcMar>
                  <w:vAlign w:val="center"/>
                  <w:hideMark/>
                </w:tcPr>
                <w:p w14:paraId="4A7F30E8"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roofErr w:type="gramStart"/>
                  <w:r w:rsidRPr="00E540B7">
                    <w:rPr>
                      <w:rFonts w:ascii="Times New Roman" w:eastAsia="Times New Roman" w:hAnsi="Times New Roman" w:cs="Times New Roman"/>
                      <w:color w:val="FFFFFF"/>
                      <w:sz w:val="17"/>
                      <w:szCs w:val="17"/>
                      <w:lang w:eastAsia="cs-CZ"/>
                    </w:rPr>
                    <w:t>&lt; 50</w:t>
                  </w:r>
                  <w:proofErr w:type="gramEnd"/>
                  <w:r w:rsidRPr="00E540B7">
                    <w:rPr>
                      <w:rFonts w:ascii="Times New Roman" w:eastAsia="Times New Roman" w:hAnsi="Times New Roman" w:cs="Times New Roman"/>
                      <w:color w:val="FFFFFF"/>
                      <w:sz w:val="17"/>
                      <w:szCs w:val="17"/>
                      <w:lang w:eastAsia="cs-CZ"/>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0C840E59" w14:textId="77777777" w:rsidR="00E540B7" w:rsidRPr="00E540B7" w:rsidRDefault="00E540B7" w:rsidP="00E540B7">
                  <w:pPr>
                    <w:spacing w:after="0" w:line="240" w:lineRule="auto"/>
                    <w:rPr>
                      <w:rFonts w:ascii="Times New Roman" w:eastAsia="Times New Roman" w:hAnsi="Times New Roman" w:cs="Times New Roman"/>
                      <w:color w:val="FFFFFF"/>
                      <w:sz w:val="17"/>
                      <w:szCs w:val="17"/>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hideMark/>
                </w:tcPr>
                <w:p w14:paraId="41272C8C" w14:textId="77777777" w:rsidR="00E540B7" w:rsidRPr="00E540B7" w:rsidRDefault="00E540B7" w:rsidP="00E540B7">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98437"/>
                  <w:tcMar>
                    <w:top w:w="75" w:type="dxa"/>
                    <w:left w:w="75" w:type="dxa"/>
                    <w:bottom w:w="75" w:type="dxa"/>
                    <w:right w:w="75" w:type="dxa"/>
                  </w:tcMar>
                  <w:vAlign w:val="center"/>
                  <w:hideMark/>
                </w:tcPr>
                <w:p w14:paraId="16E4C3E3" w14:textId="77777777" w:rsidR="00E540B7" w:rsidRPr="00E540B7" w:rsidRDefault="00E540B7" w:rsidP="00E540B7">
                  <w:pPr>
                    <w:spacing w:after="0" w:line="240" w:lineRule="auto"/>
                    <w:jc w:val="center"/>
                    <w:rPr>
                      <w:rFonts w:ascii="Times New Roman" w:eastAsia="Times New Roman" w:hAnsi="Times New Roman" w:cs="Times New Roman"/>
                      <w:sz w:val="20"/>
                      <w:szCs w:val="20"/>
                      <w:lang w:eastAsia="cs-CZ"/>
                    </w:rPr>
                  </w:pPr>
                </w:p>
              </w:tc>
            </w:tr>
          </w:tbl>
          <w:p w14:paraId="4914D51D" w14:textId="77777777" w:rsidR="00E540B7" w:rsidRPr="00E540B7" w:rsidRDefault="00E540B7" w:rsidP="00E540B7">
            <w:pPr>
              <w:spacing w:after="0" w:line="240" w:lineRule="auto"/>
              <w:rPr>
                <w:rFonts w:ascii="Times New Roman" w:eastAsia="Times New Roman" w:hAnsi="Times New Roman" w:cs="Times New Roman"/>
                <w:sz w:val="21"/>
                <w:szCs w:val="21"/>
                <w:lang w:eastAsia="cs-CZ"/>
              </w:rPr>
            </w:pPr>
          </w:p>
        </w:tc>
        <w:tc>
          <w:tcPr>
            <w:tcW w:w="0" w:type="auto"/>
            <w:shd w:val="clear" w:color="auto" w:fill="auto"/>
            <w:tcMar>
              <w:top w:w="0" w:type="dxa"/>
              <w:left w:w="75" w:type="dxa"/>
              <w:bottom w:w="0" w:type="dxa"/>
              <w:right w:w="0" w:type="dxa"/>
            </w:tcMar>
            <w:hideMark/>
          </w:tcPr>
          <w:p w14:paraId="04A5DE4F" w14:textId="77777777" w:rsidR="00E540B7" w:rsidRDefault="00E540B7" w:rsidP="00E540B7">
            <w:pPr>
              <w:spacing w:after="150" w:line="240" w:lineRule="auto"/>
              <w:rPr>
                <w:rFonts w:ascii="Helvetica" w:eastAsia="Times New Roman" w:hAnsi="Helvetica" w:cs="Helvetica"/>
                <w:b/>
                <w:bCs/>
                <w:sz w:val="24"/>
                <w:szCs w:val="24"/>
                <w:lang w:eastAsia="cs-CZ"/>
              </w:rPr>
            </w:pPr>
          </w:p>
          <w:p w14:paraId="3F40946C" w14:textId="4A10E173" w:rsidR="00E540B7" w:rsidRPr="00E540B7" w:rsidRDefault="00E540B7" w:rsidP="00E540B7">
            <w:pPr>
              <w:spacing w:after="150" w:line="240" w:lineRule="auto"/>
              <w:rPr>
                <w:rFonts w:ascii="Helvetica" w:eastAsia="Times New Roman" w:hAnsi="Helvetica" w:cs="Helvetica"/>
                <w:b/>
                <w:bCs/>
                <w:sz w:val="24"/>
                <w:szCs w:val="24"/>
                <w:lang w:eastAsia="cs-CZ"/>
              </w:rPr>
            </w:pPr>
            <w:r w:rsidRPr="00E540B7">
              <w:rPr>
                <w:rFonts w:ascii="Helvetica" w:eastAsia="Times New Roman" w:hAnsi="Helvetica" w:cs="Helvetica"/>
                <w:b/>
                <w:bCs/>
                <w:sz w:val="24"/>
                <w:szCs w:val="24"/>
                <w:lang w:eastAsia="cs-CZ"/>
              </w:rPr>
              <w:t>Silný jihozápadní, postupně západní vítr 8 až 13 m/s, místy s nárazy kolem 25 m/s (90 km/h).</w:t>
            </w:r>
          </w:p>
          <w:p w14:paraId="1BE0E8FD" w14:textId="77777777" w:rsidR="00E540B7" w:rsidRDefault="00E540B7" w:rsidP="00E540B7">
            <w:pPr>
              <w:spacing w:after="150" w:line="240" w:lineRule="auto"/>
              <w:rPr>
                <w:rFonts w:ascii="Helvetica" w:eastAsia="Times New Roman" w:hAnsi="Helvetica" w:cs="Helvetica"/>
                <w:b/>
                <w:bCs/>
                <w:sz w:val="24"/>
                <w:szCs w:val="24"/>
                <w:lang w:eastAsia="cs-CZ"/>
              </w:rPr>
            </w:pPr>
          </w:p>
          <w:p w14:paraId="2B8AD9BD" w14:textId="08235A77" w:rsidR="00E540B7" w:rsidRPr="00E540B7" w:rsidRDefault="00E540B7" w:rsidP="00E540B7">
            <w:pPr>
              <w:spacing w:after="150" w:line="240" w:lineRule="auto"/>
              <w:rPr>
                <w:rFonts w:ascii="Times New Roman" w:eastAsia="Times New Roman" w:hAnsi="Times New Roman" w:cs="Times New Roman"/>
                <w:sz w:val="24"/>
                <w:szCs w:val="24"/>
                <w:lang w:eastAsia="cs-CZ"/>
              </w:rPr>
            </w:pPr>
            <w:r w:rsidRPr="00E540B7">
              <w:rPr>
                <w:rFonts w:ascii="Helvetica" w:eastAsia="Times New Roman" w:hAnsi="Helvetica" w:cs="Helvetica"/>
                <w:b/>
                <w:bCs/>
                <w:sz w:val="24"/>
                <w:szCs w:val="24"/>
                <w:lang w:eastAsia="cs-CZ"/>
              </w:rPr>
              <w:t xml:space="preserve">Doporučení ke zmírnění následků jevu: </w:t>
            </w:r>
            <w:r w:rsidRPr="00E540B7">
              <w:rPr>
                <w:rFonts w:ascii="Helvetica" w:eastAsia="Times New Roman" w:hAnsi="Helvetica" w:cs="Helvetica"/>
                <w:sz w:val="24"/>
                <w:szCs w:val="24"/>
                <w:lang w:eastAsia="cs-CZ"/>
              </w:rPr>
              <w:t>Jsou očekávána poškození stromů a lesních porostů, škody na majetku a některých budovách. Možné přerušení elektrického vedení. Ztížená chůze, nebezpečí úrazů a ohrožení životů uvolněnými předměty, zlomenými větvemi nebo vyvracenými stromy. Komplikace v dopravě z důvodu silných poryvů větru a popadaných stromů, neprůjezdnost komunikací, možnost převrácení prázdného nákladního automobilu. Doporučuje se sledovat vývoj situace na internetu ČHMÚ www.chmi.cz a ve sdělovacích prostředcích, sledovat dopravní zpravodajství. Zajistit okna, dveře, odstranit nebo upevnit volně uložené předměty, zabezpečit skleníky apod. Omezit pohyb venku i jízdy autem. Nezdržovat se a neparkovat zejména v okolí starších budov, v blízkosti větších</w:t>
            </w:r>
            <w:r w:rsidRPr="00E540B7">
              <w:rPr>
                <w:rFonts w:ascii="Helvetica" w:eastAsia="Times New Roman" w:hAnsi="Helvetica" w:cs="Helvetica"/>
                <w:b/>
                <w:bCs/>
                <w:sz w:val="24"/>
                <w:szCs w:val="24"/>
                <w:lang w:eastAsia="cs-CZ"/>
              </w:rPr>
              <w:t xml:space="preserve"> </w:t>
            </w:r>
            <w:r w:rsidRPr="00E540B7">
              <w:rPr>
                <w:rFonts w:ascii="Helvetica" w:eastAsia="Times New Roman" w:hAnsi="Helvetica" w:cs="Helvetica"/>
                <w:sz w:val="24"/>
                <w:szCs w:val="24"/>
                <w:lang w:eastAsia="cs-CZ"/>
              </w:rPr>
              <w:t>stromů a vysokých stožárů. Nechodit do lesa a nepřibližovat se k spadlým drátům elektrického vedení. V případě nutnosti jízdy jet maximálně opatrně a pomalu. Na horách omezit vycházení a nevydávat se na túry. Dodržovat pokyny Horské služby</w:t>
            </w:r>
            <w:r w:rsidRPr="00E540B7">
              <w:rPr>
                <w:rFonts w:ascii="Helvetica" w:eastAsia="Times New Roman" w:hAnsi="Helvetica" w:cs="Helvetica"/>
                <w:b/>
                <w:bCs/>
                <w:sz w:val="24"/>
                <w:szCs w:val="24"/>
                <w:lang w:eastAsia="cs-CZ"/>
              </w:rPr>
              <w:t>.</w:t>
            </w:r>
          </w:p>
        </w:tc>
      </w:tr>
    </w:tbl>
    <w:p w14:paraId="70F0F3B8" w14:textId="77777777" w:rsidR="005324E4" w:rsidRDefault="00E540B7"/>
    <w:sectPr w:rsidR="00532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B7"/>
    <w:rsid w:val="003F782C"/>
    <w:rsid w:val="00A9166A"/>
    <w:rsid w:val="00E54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5C01"/>
  <w15:chartTrackingRefBased/>
  <w15:docId w15:val="{E4C5B437-F52A-4D20-8F9A-34A20190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3412">
      <w:bodyDiv w:val="1"/>
      <w:marLeft w:val="0"/>
      <w:marRight w:val="0"/>
      <w:marTop w:val="0"/>
      <w:marBottom w:val="0"/>
      <w:divBdr>
        <w:top w:val="none" w:sz="0" w:space="0" w:color="auto"/>
        <w:left w:val="none" w:sz="0" w:space="0" w:color="auto"/>
        <w:bottom w:val="none" w:sz="0" w:space="0" w:color="auto"/>
        <w:right w:val="none" w:sz="0" w:space="0" w:color="auto"/>
      </w:divBdr>
      <w:divsChild>
        <w:div w:id="208809711">
          <w:marLeft w:val="-225"/>
          <w:marRight w:val="-225"/>
          <w:marTop w:val="30"/>
          <w:marBottom w:val="0"/>
          <w:divBdr>
            <w:top w:val="none" w:sz="0" w:space="0" w:color="auto"/>
            <w:left w:val="none" w:sz="0" w:space="0" w:color="auto"/>
            <w:bottom w:val="none" w:sz="0" w:space="0" w:color="auto"/>
            <w:right w:val="none" w:sz="0" w:space="0" w:color="auto"/>
          </w:divBdr>
          <w:divsChild>
            <w:div w:id="1763866906">
              <w:marLeft w:val="0"/>
              <w:marRight w:val="0"/>
              <w:marTop w:val="0"/>
              <w:marBottom w:val="0"/>
              <w:divBdr>
                <w:top w:val="none" w:sz="0" w:space="0" w:color="auto"/>
                <w:left w:val="none" w:sz="0" w:space="0" w:color="auto"/>
                <w:bottom w:val="none" w:sz="0" w:space="0" w:color="auto"/>
                <w:right w:val="none" w:sz="0" w:space="0" w:color="auto"/>
              </w:divBdr>
              <w:divsChild>
                <w:div w:id="1933319453">
                  <w:marLeft w:val="-225"/>
                  <w:marRight w:val="-225"/>
                  <w:marTop w:val="0"/>
                  <w:marBottom w:val="0"/>
                  <w:divBdr>
                    <w:top w:val="none" w:sz="0" w:space="0" w:color="auto"/>
                    <w:left w:val="none" w:sz="0" w:space="0" w:color="auto"/>
                    <w:bottom w:val="none" w:sz="0" w:space="0" w:color="auto"/>
                    <w:right w:val="none" w:sz="0" w:space="0" w:color="auto"/>
                  </w:divBdr>
                  <w:divsChild>
                    <w:div w:id="1798331563">
                      <w:marLeft w:val="0"/>
                      <w:marRight w:val="0"/>
                      <w:marTop w:val="0"/>
                      <w:marBottom w:val="0"/>
                      <w:divBdr>
                        <w:top w:val="none" w:sz="0" w:space="0" w:color="auto"/>
                        <w:left w:val="none" w:sz="0" w:space="0" w:color="auto"/>
                        <w:bottom w:val="none" w:sz="0" w:space="0" w:color="auto"/>
                        <w:right w:val="none" w:sz="0" w:space="0" w:color="auto"/>
                      </w:divBdr>
                    </w:div>
                    <w:div w:id="81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39249">
          <w:marLeft w:val="-225"/>
          <w:marRight w:val="-225"/>
          <w:marTop w:val="0"/>
          <w:marBottom w:val="0"/>
          <w:divBdr>
            <w:top w:val="none" w:sz="0" w:space="0" w:color="auto"/>
            <w:left w:val="none" w:sz="0" w:space="0" w:color="auto"/>
            <w:bottom w:val="none" w:sz="0" w:space="0" w:color="auto"/>
            <w:right w:val="none" w:sz="0" w:space="0" w:color="auto"/>
          </w:divBdr>
          <w:divsChild>
            <w:div w:id="304430943">
              <w:marLeft w:val="0"/>
              <w:marRight w:val="0"/>
              <w:marTop w:val="0"/>
              <w:marBottom w:val="0"/>
              <w:divBdr>
                <w:top w:val="none" w:sz="0" w:space="0" w:color="auto"/>
                <w:left w:val="none" w:sz="0" w:space="0" w:color="auto"/>
                <w:bottom w:val="none" w:sz="0" w:space="0" w:color="auto"/>
                <w:right w:val="none" w:sz="0" w:space="0" w:color="auto"/>
              </w:divBdr>
            </w:div>
          </w:divsChild>
        </w:div>
        <w:div w:id="1889103704">
          <w:marLeft w:val="-225"/>
          <w:marRight w:val="-225"/>
          <w:marTop w:val="0"/>
          <w:marBottom w:val="0"/>
          <w:divBdr>
            <w:top w:val="none" w:sz="0" w:space="0" w:color="auto"/>
            <w:left w:val="none" w:sz="0" w:space="0" w:color="auto"/>
            <w:bottom w:val="none" w:sz="0" w:space="0" w:color="auto"/>
            <w:right w:val="none" w:sz="0" w:space="0" w:color="auto"/>
          </w:divBdr>
          <w:divsChild>
            <w:div w:id="1796291000">
              <w:marLeft w:val="0"/>
              <w:marRight w:val="0"/>
              <w:marTop w:val="150"/>
              <w:marBottom w:val="0"/>
              <w:divBdr>
                <w:top w:val="none" w:sz="0" w:space="0" w:color="auto"/>
                <w:left w:val="none" w:sz="0" w:space="0" w:color="auto"/>
                <w:bottom w:val="none" w:sz="0" w:space="0" w:color="auto"/>
                <w:right w:val="none" w:sz="0" w:space="0" w:color="auto"/>
              </w:divBdr>
              <w:divsChild>
                <w:div w:id="946228676">
                  <w:marLeft w:val="0"/>
                  <w:marRight w:val="0"/>
                  <w:marTop w:val="0"/>
                  <w:marBottom w:val="0"/>
                  <w:divBdr>
                    <w:top w:val="none" w:sz="0" w:space="0" w:color="auto"/>
                    <w:left w:val="none" w:sz="0" w:space="0" w:color="auto"/>
                    <w:bottom w:val="none" w:sz="0" w:space="0" w:color="auto"/>
                    <w:right w:val="none" w:sz="0" w:space="0" w:color="auto"/>
                  </w:divBdr>
                  <w:divsChild>
                    <w:div w:id="1433206821">
                      <w:marLeft w:val="0"/>
                      <w:marRight w:val="0"/>
                      <w:marTop w:val="0"/>
                      <w:marBottom w:val="0"/>
                      <w:divBdr>
                        <w:top w:val="none" w:sz="0" w:space="0" w:color="auto"/>
                        <w:left w:val="none" w:sz="0" w:space="0" w:color="auto"/>
                        <w:bottom w:val="none" w:sz="0" w:space="0" w:color="auto"/>
                        <w:right w:val="none" w:sz="0" w:space="0" w:color="auto"/>
                      </w:divBdr>
                      <w:divsChild>
                        <w:div w:id="9918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1679</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Čechová</dc:creator>
  <cp:keywords/>
  <dc:description/>
  <cp:lastModifiedBy>Marcela Čechová</cp:lastModifiedBy>
  <cp:revision>1</cp:revision>
  <dcterms:created xsi:type="dcterms:W3CDTF">2021-10-20T10:52:00Z</dcterms:created>
  <dcterms:modified xsi:type="dcterms:W3CDTF">2021-10-20T10:57:00Z</dcterms:modified>
</cp:coreProperties>
</file>